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223E67" w:rsidRPr="00223E67" w14:paraId="1AE4F3D2" w14:textId="77777777" w:rsidTr="006039A2">
        <w:tc>
          <w:tcPr>
            <w:tcW w:w="9493" w:type="dxa"/>
            <w:tcBorders>
              <w:top w:val="nil"/>
              <w:left w:val="nil"/>
              <w:bottom w:val="nil"/>
              <w:right w:val="nil"/>
            </w:tcBorders>
            <w:shd w:val="clear" w:color="auto" w:fill="auto"/>
          </w:tcPr>
          <w:sdt>
            <w:sdtPr>
              <w:rPr>
                <w:rFonts w:cs="Arial"/>
                <w:szCs w:val="22"/>
              </w:rPr>
              <w:alias w:val="Choose Classification"/>
              <w:tag w:val="Choose Classification"/>
              <w:id w:val="-2132702659"/>
              <w:placeholder>
                <w:docPart w:val="5BE22888312244F7A326D738483AEF55"/>
              </w:placeholder>
              <w:docPartList>
                <w:docPartGallery w:val="Quick Parts"/>
                <w:docPartCategory w:val="Classification"/>
              </w:docPartList>
            </w:sdtPr>
            <w:sdtEndPr/>
            <w:sdtContent>
              <w:p w14:paraId="4311C2DC" w14:textId="77777777" w:rsidR="00223E67" w:rsidRPr="00223E67" w:rsidRDefault="00223E67" w:rsidP="00223E67">
                <w:pPr>
                  <w:keepNext/>
                  <w:numPr>
                    <w:ilvl w:val="3"/>
                    <w:numId w:val="0"/>
                  </w:numPr>
                  <w:spacing w:before="60" w:after="120"/>
                  <w:outlineLvl w:val="3"/>
                  <w:rPr>
                    <w:rFonts w:cs="Arial"/>
                    <w:b/>
                    <w:szCs w:val="22"/>
                  </w:rPr>
                </w:pPr>
                <w:r w:rsidRPr="00223E67">
                  <w:rPr>
                    <w:rFonts w:cs="Arial"/>
                    <w:b/>
                    <w:szCs w:val="22"/>
                  </w:rPr>
                  <w:t>Assessment of Planning Secretary’s Environmental Assessment Requirements</w:t>
                </w:r>
              </w:p>
              <w:p w14:paraId="1B6D4B50" w14:textId="77777777" w:rsidR="00223E67" w:rsidRPr="00223E67" w:rsidRDefault="00223E67" w:rsidP="00223E67">
                <w:pPr>
                  <w:keepNext/>
                  <w:numPr>
                    <w:ilvl w:val="3"/>
                    <w:numId w:val="0"/>
                  </w:numPr>
                  <w:spacing w:before="60" w:after="120"/>
                  <w:outlineLvl w:val="3"/>
                  <w:rPr>
                    <w:rFonts w:cs="Arial"/>
                    <w:b/>
                    <w:szCs w:val="22"/>
                  </w:rPr>
                </w:pPr>
                <w:r>
                  <w:rPr>
                    <w:rFonts w:cs="Arial"/>
                    <w:b/>
                    <w:szCs w:val="22"/>
                  </w:rPr>
                  <w:t>Fernleigh Awabakal Shared Track, Belmont</w:t>
                </w:r>
              </w:p>
              <w:tbl>
                <w:tblPr>
                  <w:tblStyle w:val="TableGrid1"/>
                  <w:tblW w:w="0" w:type="auto"/>
                  <w:tblLayout w:type="fixed"/>
                  <w:tblLook w:val="04A0" w:firstRow="1" w:lastRow="0" w:firstColumn="1" w:lastColumn="0" w:noHBand="0" w:noVBand="1"/>
                </w:tblPr>
                <w:tblGrid>
                  <w:gridCol w:w="4633"/>
                  <w:gridCol w:w="4634"/>
                </w:tblGrid>
                <w:tr w:rsidR="00223E67" w:rsidRPr="00223E67" w14:paraId="446F2D31" w14:textId="77777777" w:rsidTr="006039A2">
                  <w:tc>
                    <w:tcPr>
                      <w:tcW w:w="4633" w:type="dxa"/>
                    </w:tcPr>
                    <w:p w14:paraId="4AEF0A4A" w14:textId="77777777" w:rsidR="00223E67" w:rsidRPr="00223E67" w:rsidRDefault="00223E67" w:rsidP="00223E67">
                      <w:pPr>
                        <w:rPr>
                          <w:rFonts w:ascii="Arial" w:hAnsi="Arial" w:cs="Arial"/>
                          <w:b/>
                          <w:sz w:val="22"/>
                          <w:szCs w:val="22"/>
                        </w:rPr>
                      </w:pPr>
                      <w:r w:rsidRPr="00223E67">
                        <w:rPr>
                          <w:rFonts w:ascii="Arial" w:hAnsi="Arial" w:cs="Arial"/>
                          <w:b/>
                          <w:sz w:val="22"/>
                          <w:szCs w:val="22"/>
                        </w:rPr>
                        <w:t>SEAR</w:t>
                      </w:r>
                    </w:p>
                  </w:tc>
                  <w:tc>
                    <w:tcPr>
                      <w:tcW w:w="4634" w:type="dxa"/>
                    </w:tcPr>
                    <w:p w14:paraId="4F6A84A2" w14:textId="77777777" w:rsidR="00223E67" w:rsidRPr="00223E67" w:rsidRDefault="00223E67" w:rsidP="00223E67">
                      <w:pPr>
                        <w:rPr>
                          <w:rFonts w:ascii="Arial" w:hAnsi="Arial" w:cs="Arial"/>
                          <w:b/>
                          <w:sz w:val="22"/>
                          <w:szCs w:val="22"/>
                        </w:rPr>
                      </w:pPr>
                      <w:r w:rsidRPr="00223E67">
                        <w:rPr>
                          <w:rFonts w:ascii="Arial" w:hAnsi="Arial" w:cs="Arial"/>
                          <w:b/>
                          <w:sz w:val="22"/>
                          <w:szCs w:val="22"/>
                        </w:rPr>
                        <w:t>Comments</w:t>
                      </w:r>
                    </w:p>
                  </w:tc>
                </w:tr>
                <w:tr w:rsidR="00223E67" w:rsidRPr="00223E67" w14:paraId="04E05D5E" w14:textId="77777777" w:rsidTr="006039A2">
                  <w:tc>
                    <w:tcPr>
                      <w:tcW w:w="4633" w:type="dxa"/>
                    </w:tcPr>
                    <w:p w14:paraId="782591AE" w14:textId="77777777" w:rsidR="00223E67" w:rsidRPr="00223E67" w:rsidRDefault="00223E67" w:rsidP="00223E67">
                      <w:pPr>
                        <w:rPr>
                          <w:rFonts w:ascii="Arial" w:hAnsi="Arial" w:cs="Arial"/>
                          <w:sz w:val="22"/>
                          <w:szCs w:val="22"/>
                        </w:rPr>
                      </w:pPr>
                      <w:r w:rsidRPr="00223E67">
                        <w:rPr>
                          <w:rFonts w:ascii="Arial" w:hAnsi="Arial" w:cs="Arial"/>
                          <w:sz w:val="22"/>
                          <w:szCs w:val="22"/>
                        </w:rPr>
                        <w:t xml:space="preserve">The Environmental Impact Statement (EIS) must meet the minimum form and content requirements in clauses 6 and 7 of Schedule 2 of the </w:t>
                      </w:r>
                      <w:r w:rsidRPr="00223E67">
                        <w:rPr>
                          <w:rFonts w:ascii="Arial" w:hAnsi="Arial" w:cs="Arial"/>
                          <w:i/>
                          <w:sz w:val="22"/>
                          <w:szCs w:val="22"/>
                        </w:rPr>
                        <w:t>Environmental Planning and Assessment Regulation</w:t>
                      </w:r>
                      <w:r w:rsidRPr="00223E67">
                        <w:rPr>
                          <w:rFonts w:ascii="Arial" w:hAnsi="Arial" w:cs="Arial"/>
                          <w:sz w:val="22"/>
                          <w:szCs w:val="22"/>
                        </w:rPr>
                        <w:t xml:space="preserve"> 2000.</w:t>
                      </w:r>
                    </w:p>
                  </w:tc>
                  <w:tc>
                    <w:tcPr>
                      <w:tcW w:w="4634" w:type="dxa"/>
                    </w:tcPr>
                    <w:p w14:paraId="5452BB18" w14:textId="77777777" w:rsidR="00223E67" w:rsidRPr="00223E67" w:rsidRDefault="00223E67" w:rsidP="00223E67">
                      <w:pPr>
                        <w:rPr>
                          <w:rFonts w:ascii="Arial" w:hAnsi="Arial" w:cs="Arial"/>
                          <w:sz w:val="22"/>
                          <w:szCs w:val="22"/>
                        </w:rPr>
                      </w:pPr>
                      <w:r w:rsidRPr="00223E67">
                        <w:rPr>
                          <w:rFonts w:ascii="Arial" w:hAnsi="Arial" w:cs="Arial"/>
                          <w:sz w:val="22"/>
                          <w:szCs w:val="22"/>
                        </w:rPr>
                        <w:t xml:space="preserve">The content and form of the submitted EIS addresses the requirements of Clauses 6 and 7 of Schedule 2. </w:t>
                      </w:r>
                    </w:p>
                  </w:tc>
                </w:tr>
                <w:tr w:rsidR="00223E67" w:rsidRPr="00223E67" w14:paraId="2BC1B690" w14:textId="77777777" w:rsidTr="006039A2">
                  <w:tc>
                    <w:tcPr>
                      <w:tcW w:w="4633" w:type="dxa"/>
                    </w:tcPr>
                    <w:p w14:paraId="2E6A83DD" w14:textId="77777777" w:rsidR="00223E67" w:rsidRPr="00223E67" w:rsidRDefault="00223E67" w:rsidP="00223E67">
                      <w:pPr>
                        <w:rPr>
                          <w:rFonts w:ascii="Arial" w:hAnsi="Arial" w:cs="Arial"/>
                          <w:sz w:val="22"/>
                          <w:szCs w:val="22"/>
                        </w:rPr>
                      </w:pPr>
                      <w:r w:rsidRPr="00223E67">
                        <w:rPr>
                          <w:rFonts w:ascii="Arial" w:hAnsi="Arial" w:cs="Arial"/>
                          <w:sz w:val="22"/>
                          <w:szCs w:val="22"/>
                        </w:rPr>
                        <w:t>Strategic and statutory context</w:t>
                      </w:r>
                    </w:p>
                  </w:tc>
                  <w:tc>
                    <w:tcPr>
                      <w:tcW w:w="4634" w:type="dxa"/>
                    </w:tcPr>
                    <w:p w14:paraId="47518F46" w14:textId="77777777" w:rsidR="00223E67" w:rsidRPr="00223E67" w:rsidRDefault="00223E67" w:rsidP="00223E67">
                      <w:pPr>
                        <w:rPr>
                          <w:rFonts w:ascii="Arial" w:hAnsi="Arial" w:cs="Arial"/>
                          <w:sz w:val="22"/>
                          <w:szCs w:val="22"/>
                        </w:rPr>
                      </w:pPr>
                      <w:r w:rsidRPr="00223E67">
                        <w:rPr>
                          <w:rFonts w:ascii="Arial" w:hAnsi="Arial" w:cs="Arial"/>
                          <w:sz w:val="22"/>
                          <w:szCs w:val="22"/>
                        </w:rPr>
                        <w:t xml:space="preserve">The EIS indicates extensive strategic consideration informed the development sitting and design. The development forms part of </w:t>
                      </w:r>
                      <w:proofErr w:type="gramStart"/>
                      <w:r w:rsidRPr="00223E67">
                        <w:rPr>
                          <w:rFonts w:ascii="Arial" w:hAnsi="Arial" w:cs="Arial"/>
                          <w:sz w:val="22"/>
                          <w:szCs w:val="22"/>
                        </w:rPr>
                        <w:t>large scale</w:t>
                      </w:r>
                      <w:proofErr w:type="gramEnd"/>
                      <w:r w:rsidRPr="00223E67">
                        <w:rPr>
                          <w:rFonts w:ascii="Arial" w:hAnsi="Arial" w:cs="Arial"/>
                          <w:sz w:val="22"/>
                          <w:szCs w:val="22"/>
                        </w:rPr>
                        <w:t xml:space="preserve"> shared pathway linkage between Newcastle and Lake Macquarie LGAs.</w:t>
                      </w:r>
                    </w:p>
                    <w:p w14:paraId="1EF2500A" w14:textId="77777777" w:rsidR="00223E67" w:rsidRPr="00223E67" w:rsidRDefault="00223E67" w:rsidP="00223E67">
                      <w:pPr>
                        <w:rPr>
                          <w:rFonts w:ascii="Arial" w:hAnsi="Arial" w:cs="Arial"/>
                          <w:sz w:val="22"/>
                          <w:szCs w:val="22"/>
                        </w:rPr>
                      </w:pPr>
                      <w:r w:rsidRPr="00223E67">
                        <w:rPr>
                          <w:rFonts w:ascii="Arial" w:hAnsi="Arial" w:cs="Arial"/>
                          <w:sz w:val="22"/>
                          <w:szCs w:val="22"/>
                        </w:rPr>
                        <w:t>Alternative routes for the track were investigated. The proposed arrangement was nominated as incurring the least environmental impact on the lagoon and surrounding vegetation.</w:t>
                      </w:r>
                    </w:p>
                    <w:p w14:paraId="50F560C8" w14:textId="77777777" w:rsidR="00223E67" w:rsidRPr="00223E67" w:rsidRDefault="00223E67" w:rsidP="00223E67">
                      <w:pPr>
                        <w:rPr>
                          <w:rFonts w:ascii="Arial" w:hAnsi="Arial" w:cs="Arial"/>
                          <w:sz w:val="22"/>
                          <w:szCs w:val="22"/>
                        </w:rPr>
                      </w:pPr>
                      <w:r w:rsidRPr="00223E67">
                        <w:rPr>
                          <w:rFonts w:ascii="Arial" w:hAnsi="Arial" w:cs="Arial"/>
                          <w:sz w:val="22"/>
                          <w:szCs w:val="22"/>
                        </w:rPr>
                        <w:t>The EIS addresses appropriate heads of consideration and is generally robust in explaining and justifying impacts arising from the proposal.</w:t>
                      </w:r>
                    </w:p>
                    <w:p w14:paraId="708EA7A1" w14:textId="77777777" w:rsidR="00223E67" w:rsidRPr="00223E67" w:rsidRDefault="00223E67" w:rsidP="00223E67">
                      <w:pPr>
                        <w:rPr>
                          <w:rFonts w:ascii="Arial" w:hAnsi="Arial" w:cs="Arial"/>
                          <w:sz w:val="22"/>
                          <w:szCs w:val="22"/>
                        </w:rPr>
                      </w:pPr>
                      <w:r w:rsidRPr="00223E67">
                        <w:rPr>
                          <w:rFonts w:ascii="Arial" w:hAnsi="Arial" w:cs="Arial"/>
                          <w:sz w:val="22"/>
                          <w:szCs w:val="22"/>
                        </w:rPr>
                        <w:t>External stakeholders were consulted by the applicant as part of addressing the SEARS.</w:t>
                      </w:r>
                    </w:p>
                  </w:tc>
                </w:tr>
                <w:tr w:rsidR="00223E67" w:rsidRPr="00223E67" w14:paraId="79BF53F4" w14:textId="77777777" w:rsidTr="006039A2">
                  <w:tc>
                    <w:tcPr>
                      <w:tcW w:w="4633" w:type="dxa"/>
                    </w:tcPr>
                    <w:p w14:paraId="41857B85" w14:textId="77777777" w:rsidR="00223E67" w:rsidRPr="00223E67" w:rsidRDefault="00223E67" w:rsidP="00223E67">
                      <w:pPr>
                        <w:rPr>
                          <w:rFonts w:ascii="Arial" w:hAnsi="Arial" w:cs="Arial"/>
                          <w:sz w:val="22"/>
                          <w:szCs w:val="22"/>
                        </w:rPr>
                      </w:pPr>
                      <w:r w:rsidRPr="00223E67">
                        <w:rPr>
                          <w:rFonts w:ascii="Arial" w:hAnsi="Arial" w:cs="Arial"/>
                          <w:sz w:val="22"/>
                          <w:szCs w:val="22"/>
                        </w:rPr>
                        <w:t>Biodiversity</w:t>
                      </w:r>
                    </w:p>
                  </w:tc>
                  <w:tc>
                    <w:tcPr>
                      <w:tcW w:w="4634" w:type="dxa"/>
                    </w:tcPr>
                    <w:p w14:paraId="38E0628D" w14:textId="77777777" w:rsidR="00223E67" w:rsidRPr="00223E67" w:rsidRDefault="00223E67" w:rsidP="00223E67">
                      <w:pPr>
                        <w:rPr>
                          <w:rFonts w:ascii="Arial" w:hAnsi="Arial" w:cs="Arial"/>
                          <w:sz w:val="22"/>
                          <w:szCs w:val="22"/>
                        </w:rPr>
                      </w:pPr>
                      <w:r w:rsidRPr="00223E67">
                        <w:rPr>
                          <w:rFonts w:ascii="Arial" w:hAnsi="Arial" w:cs="Arial"/>
                          <w:sz w:val="22"/>
                          <w:szCs w:val="22"/>
                        </w:rPr>
                        <w:t>The EIS and accompanying biodiversity assessment provides a detailed explanation of the extent of clearing and the types of flora and fauna expected to be impacted.</w:t>
                      </w:r>
                    </w:p>
                    <w:p w14:paraId="13318EC5" w14:textId="77777777" w:rsidR="00223E67" w:rsidRPr="00223E67" w:rsidRDefault="00223E67" w:rsidP="00223E67">
                      <w:pPr>
                        <w:rPr>
                          <w:rFonts w:ascii="Arial" w:hAnsi="Arial" w:cs="Arial"/>
                          <w:sz w:val="22"/>
                          <w:szCs w:val="22"/>
                        </w:rPr>
                      </w:pPr>
                      <w:r w:rsidRPr="00223E67">
                        <w:rPr>
                          <w:rFonts w:ascii="Arial" w:hAnsi="Arial" w:cs="Arial"/>
                          <w:sz w:val="22"/>
                          <w:szCs w:val="22"/>
                        </w:rPr>
                        <w:t>Impacts to flora and fauna have been appropriately assessed in accordance with the Biodiversity Assessment Method (2020) and relevant legislative requirements.</w:t>
                      </w:r>
                    </w:p>
                    <w:p w14:paraId="6F3EE358" w14:textId="77777777" w:rsidR="00223E67" w:rsidRPr="00223E67" w:rsidRDefault="00223E67" w:rsidP="00223E67">
                      <w:pPr>
                        <w:rPr>
                          <w:rFonts w:ascii="Arial" w:hAnsi="Arial" w:cs="Arial"/>
                          <w:sz w:val="22"/>
                          <w:szCs w:val="22"/>
                        </w:rPr>
                      </w:pPr>
                      <w:r w:rsidRPr="00223E67">
                        <w:rPr>
                          <w:rFonts w:ascii="Arial" w:hAnsi="Arial" w:cs="Arial"/>
                          <w:sz w:val="22"/>
                          <w:szCs w:val="22"/>
                        </w:rPr>
                        <w:t>Habitats on site for a range of species, including connectivity features, foraging and breeding habitats have been avoided where possible and will be retained by the proposed development. Monitoring and maintenance is also proposed to occur under a Vegetation Management Plan (VMP).</w:t>
                      </w:r>
                    </w:p>
                    <w:p w14:paraId="5AA4A79F" w14:textId="77777777" w:rsidR="00223E67" w:rsidRPr="00223E67" w:rsidRDefault="00223E67" w:rsidP="00223E67">
                      <w:pPr>
                        <w:rPr>
                          <w:rFonts w:ascii="Arial" w:hAnsi="Arial" w:cs="Arial"/>
                          <w:sz w:val="22"/>
                          <w:szCs w:val="22"/>
                        </w:rPr>
                      </w:pPr>
                      <w:r w:rsidRPr="00223E67">
                        <w:rPr>
                          <w:rFonts w:ascii="Arial" w:hAnsi="Arial" w:cs="Arial"/>
                          <w:sz w:val="22"/>
                          <w:szCs w:val="22"/>
                        </w:rPr>
                        <w:t>Council’s Ecology Officer has indicated the development is supported subject to the imposition of conditions (including an ongoing Vegetation Management Plan).</w:t>
                      </w:r>
                    </w:p>
                  </w:tc>
                </w:tr>
                <w:tr w:rsidR="00223E67" w:rsidRPr="00223E67" w14:paraId="6279DF60" w14:textId="77777777" w:rsidTr="006039A2">
                  <w:tc>
                    <w:tcPr>
                      <w:tcW w:w="4633" w:type="dxa"/>
                    </w:tcPr>
                    <w:p w14:paraId="3C04A5A3" w14:textId="77777777" w:rsidR="00223E67" w:rsidRPr="00223E67" w:rsidRDefault="00223E67" w:rsidP="00223E67">
                      <w:pPr>
                        <w:rPr>
                          <w:rFonts w:ascii="Arial" w:hAnsi="Arial" w:cs="Arial"/>
                          <w:sz w:val="22"/>
                          <w:szCs w:val="22"/>
                        </w:rPr>
                      </w:pPr>
                      <w:r w:rsidRPr="00223E67">
                        <w:rPr>
                          <w:rFonts w:ascii="Arial" w:hAnsi="Arial" w:cs="Arial"/>
                          <w:sz w:val="22"/>
                          <w:szCs w:val="22"/>
                        </w:rPr>
                        <w:lastRenderedPageBreak/>
                        <w:t>Soil and water</w:t>
                      </w:r>
                    </w:p>
                  </w:tc>
                  <w:tc>
                    <w:tcPr>
                      <w:tcW w:w="4634" w:type="dxa"/>
                    </w:tcPr>
                    <w:p w14:paraId="19532A92" w14:textId="77777777" w:rsidR="00223E67" w:rsidRPr="00223E67" w:rsidRDefault="00223E67" w:rsidP="00223E67">
                      <w:pPr>
                        <w:rPr>
                          <w:rFonts w:ascii="Arial" w:hAnsi="Arial" w:cs="Arial"/>
                          <w:sz w:val="22"/>
                          <w:szCs w:val="22"/>
                        </w:rPr>
                      </w:pPr>
                      <w:r w:rsidRPr="00223E67">
                        <w:rPr>
                          <w:rFonts w:ascii="Arial" w:hAnsi="Arial" w:cs="Arial"/>
                          <w:sz w:val="22"/>
                          <w:szCs w:val="22"/>
                        </w:rPr>
                        <w:t xml:space="preserve">A soil and water report </w:t>
                      </w:r>
                      <w:proofErr w:type="gramStart"/>
                      <w:r w:rsidRPr="00223E67">
                        <w:rPr>
                          <w:rFonts w:ascii="Arial" w:hAnsi="Arial" w:cs="Arial"/>
                          <w:sz w:val="22"/>
                          <w:szCs w:val="22"/>
                        </w:rPr>
                        <w:t>has</w:t>
                      </w:r>
                      <w:proofErr w:type="gramEnd"/>
                      <w:r w:rsidRPr="00223E67">
                        <w:rPr>
                          <w:rFonts w:ascii="Arial" w:hAnsi="Arial" w:cs="Arial"/>
                          <w:sz w:val="22"/>
                          <w:szCs w:val="22"/>
                        </w:rPr>
                        <w:t xml:space="preserve"> been undertaken as part of the project’s geotechnical investigations.</w:t>
                      </w:r>
                    </w:p>
                    <w:p w14:paraId="2694DA0A" w14:textId="77777777" w:rsidR="00223E67" w:rsidRPr="00223E67" w:rsidRDefault="00223E67" w:rsidP="00223E67">
                      <w:pPr>
                        <w:rPr>
                          <w:rFonts w:ascii="Arial" w:hAnsi="Arial" w:cs="Arial"/>
                          <w:sz w:val="22"/>
                          <w:szCs w:val="22"/>
                        </w:rPr>
                      </w:pPr>
                      <w:r w:rsidRPr="00223E67">
                        <w:rPr>
                          <w:rFonts w:ascii="Arial" w:hAnsi="Arial" w:cs="Arial"/>
                          <w:sz w:val="22"/>
                          <w:szCs w:val="22"/>
                        </w:rPr>
                        <w:t>Council’s Erosion and Sediment Control Officer advised the SWR appropriately addresses requirements of LMDCP for the development’s disturbed area and site risk.</w:t>
                      </w:r>
                    </w:p>
                    <w:p w14:paraId="377D718C" w14:textId="77777777" w:rsidR="00223E67" w:rsidRPr="00223E67" w:rsidRDefault="00223E67" w:rsidP="00223E67">
                      <w:pPr>
                        <w:rPr>
                          <w:rFonts w:ascii="Arial" w:hAnsi="Arial" w:cs="Arial"/>
                          <w:sz w:val="22"/>
                          <w:szCs w:val="22"/>
                        </w:rPr>
                      </w:pPr>
                      <w:r w:rsidRPr="00223E67">
                        <w:rPr>
                          <w:rFonts w:ascii="Arial" w:hAnsi="Arial" w:cs="Arial"/>
                          <w:sz w:val="22"/>
                          <w:szCs w:val="22"/>
                        </w:rPr>
                        <w:t>An acid sulfate soil management plan has also been provided, with the recommendations supported by Council’s Development Engineer.</w:t>
                      </w:r>
                    </w:p>
                  </w:tc>
                </w:tr>
                <w:tr w:rsidR="00223E67" w:rsidRPr="00223E67" w14:paraId="61FE8024" w14:textId="77777777" w:rsidTr="006039A2">
                  <w:tc>
                    <w:tcPr>
                      <w:tcW w:w="4633" w:type="dxa"/>
                    </w:tcPr>
                    <w:p w14:paraId="787B45B5" w14:textId="77777777" w:rsidR="00223E67" w:rsidRPr="00223E67" w:rsidRDefault="00223E67" w:rsidP="00223E67">
                      <w:pPr>
                        <w:rPr>
                          <w:rFonts w:ascii="Arial" w:hAnsi="Arial" w:cs="Arial"/>
                          <w:sz w:val="22"/>
                          <w:szCs w:val="22"/>
                        </w:rPr>
                      </w:pPr>
                      <w:r w:rsidRPr="00223E67">
                        <w:rPr>
                          <w:rFonts w:ascii="Arial" w:hAnsi="Arial" w:cs="Arial"/>
                          <w:sz w:val="22"/>
                          <w:szCs w:val="22"/>
                        </w:rPr>
                        <w:t>Traffic and transport</w:t>
                      </w:r>
                    </w:p>
                  </w:tc>
                  <w:tc>
                    <w:tcPr>
                      <w:tcW w:w="4634" w:type="dxa"/>
                    </w:tcPr>
                    <w:p w14:paraId="2C2E16CF" w14:textId="77777777" w:rsidR="00223E67" w:rsidRPr="00223E67" w:rsidRDefault="00223E67" w:rsidP="00223E67">
                      <w:pPr>
                        <w:rPr>
                          <w:rFonts w:ascii="Arial" w:hAnsi="Arial" w:cs="Arial"/>
                          <w:sz w:val="22"/>
                          <w:szCs w:val="22"/>
                        </w:rPr>
                      </w:pPr>
                      <w:r w:rsidRPr="00223E67">
                        <w:rPr>
                          <w:rFonts w:ascii="Arial" w:hAnsi="Arial" w:cs="Arial"/>
                          <w:sz w:val="22"/>
                          <w:szCs w:val="22"/>
                        </w:rPr>
                        <w:t xml:space="preserve">A detailed traffic and parking assessment </w:t>
                      </w:r>
                      <w:proofErr w:type="gramStart"/>
                      <w:r w:rsidRPr="00223E67">
                        <w:rPr>
                          <w:rFonts w:ascii="Arial" w:hAnsi="Arial" w:cs="Arial"/>
                          <w:sz w:val="22"/>
                          <w:szCs w:val="22"/>
                        </w:rPr>
                        <w:t>has</w:t>
                      </w:r>
                      <w:proofErr w:type="gramEnd"/>
                      <w:r w:rsidRPr="00223E67">
                        <w:rPr>
                          <w:rFonts w:ascii="Arial" w:hAnsi="Arial" w:cs="Arial"/>
                          <w:sz w:val="22"/>
                          <w:szCs w:val="22"/>
                        </w:rPr>
                        <w:t xml:space="preserve"> been undertaken in support of the proposal.</w:t>
                      </w:r>
                    </w:p>
                    <w:p w14:paraId="7F2DC5F5" w14:textId="77777777" w:rsidR="00223E67" w:rsidRPr="00223E67" w:rsidRDefault="00223E67" w:rsidP="00223E67">
                      <w:pPr>
                        <w:rPr>
                          <w:rFonts w:ascii="Arial" w:hAnsi="Arial" w:cs="Arial"/>
                          <w:sz w:val="22"/>
                          <w:szCs w:val="22"/>
                        </w:rPr>
                      </w:pPr>
                      <w:r w:rsidRPr="00223E67">
                        <w:rPr>
                          <w:rFonts w:ascii="Arial" w:hAnsi="Arial" w:cs="Arial"/>
                          <w:sz w:val="22"/>
                          <w:szCs w:val="22"/>
                        </w:rPr>
                        <w:t>Access to the development is provided from public roads at key points along the track, with public and street parking available. It is considered the track enhances road safety by providing pedestrians and cyclists a dedicated pathway for travel, avoiding the need to share the road network with vehicles.</w:t>
                      </w:r>
                    </w:p>
                    <w:p w14:paraId="1A104224" w14:textId="77777777" w:rsidR="00223E67" w:rsidRPr="00223E67" w:rsidRDefault="00223E67" w:rsidP="00223E67">
                      <w:pPr>
                        <w:rPr>
                          <w:rFonts w:ascii="Arial" w:hAnsi="Arial" w:cs="Arial"/>
                          <w:sz w:val="22"/>
                          <w:szCs w:val="22"/>
                        </w:rPr>
                      </w:pPr>
                      <w:r w:rsidRPr="00223E67">
                        <w:rPr>
                          <w:rFonts w:ascii="Arial" w:hAnsi="Arial" w:cs="Arial"/>
                          <w:sz w:val="22"/>
                          <w:szCs w:val="22"/>
                        </w:rPr>
                        <w:t>Speed management and general awareness signage is to be provided along the length of the track. Adequate lighting is proposed</w:t>
                      </w:r>
                      <w:r w:rsidR="003D76CE">
                        <w:rPr>
                          <w:rFonts w:ascii="Arial" w:hAnsi="Arial" w:cs="Arial"/>
                          <w:sz w:val="22"/>
                          <w:szCs w:val="22"/>
                        </w:rPr>
                        <w:t xml:space="preserve"> for the</w:t>
                      </w:r>
                      <w:r w:rsidRPr="00223E67">
                        <w:rPr>
                          <w:rFonts w:ascii="Arial" w:hAnsi="Arial" w:cs="Arial"/>
                          <w:sz w:val="22"/>
                          <w:szCs w:val="22"/>
                        </w:rPr>
                        <w:t xml:space="preserve"> track length to facilitate visibility.</w:t>
                      </w:r>
                    </w:p>
                    <w:p w14:paraId="7CC6158C" w14:textId="77777777" w:rsidR="00223E67" w:rsidRPr="00223E67" w:rsidRDefault="00223E67" w:rsidP="00223E67">
                      <w:pPr>
                        <w:rPr>
                          <w:rFonts w:ascii="Arial" w:hAnsi="Arial" w:cs="Arial"/>
                          <w:sz w:val="22"/>
                          <w:szCs w:val="22"/>
                        </w:rPr>
                      </w:pPr>
                      <w:r w:rsidRPr="00223E67">
                        <w:rPr>
                          <w:rFonts w:ascii="Arial" w:hAnsi="Arial" w:cs="Arial"/>
                          <w:sz w:val="22"/>
                          <w:szCs w:val="22"/>
                        </w:rPr>
                        <w:t>A modest impact is expected to arise from construction activities, the TIA indicates approximately five light and heavy vehicles accessing the site per day. Construction hours would be limited via consent conditions.</w:t>
                      </w:r>
                    </w:p>
                    <w:p w14:paraId="56359E15" w14:textId="77777777" w:rsidR="00223E67" w:rsidRPr="00223E67" w:rsidRDefault="00223E67" w:rsidP="00223E67">
                      <w:pPr>
                        <w:rPr>
                          <w:rFonts w:ascii="Arial" w:hAnsi="Arial" w:cs="Arial"/>
                          <w:sz w:val="22"/>
                          <w:szCs w:val="22"/>
                        </w:rPr>
                      </w:pPr>
                      <w:r w:rsidRPr="00223E67">
                        <w:rPr>
                          <w:rFonts w:ascii="Arial" w:hAnsi="Arial" w:cs="Arial"/>
                          <w:sz w:val="22"/>
                          <w:szCs w:val="22"/>
                        </w:rPr>
                        <w:t>The development is considered satisfactory with regard to traffic and transport impacts.</w:t>
                      </w:r>
                    </w:p>
                  </w:tc>
                </w:tr>
                <w:tr w:rsidR="00223E67" w:rsidRPr="00223E67" w14:paraId="7472598D" w14:textId="77777777" w:rsidTr="006039A2">
                  <w:tc>
                    <w:tcPr>
                      <w:tcW w:w="4633" w:type="dxa"/>
                    </w:tcPr>
                    <w:p w14:paraId="7B86D039" w14:textId="77777777" w:rsidR="00223E67" w:rsidRPr="00223E67" w:rsidRDefault="00223E67" w:rsidP="00223E67">
                      <w:pPr>
                        <w:rPr>
                          <w:rFonts w:ascii="Arial" w:hAnsi="Arial" w:cs="Arial"/>
                          <w:sz w:val="22"/>
                          <w:szCs w:val="22"/>
                        </w:rPr>
                      </w:pPr>
                      <w:r w:rsidRPr="00223E67">
                        <w:rPr>
                          <w:rFonts w:ascii="Arial" w:hAnsi="Arial" w:cs="Arial"/>
                          <w:sz w:val="22"/>
                          <w:szCs w:val="22"/>
                        </w:rPr>
                        <w:t>Community and stakeholder engagement</w:t>
                      </w:r>
                    </w:p>
                  </w:tc>
                  <w:tc>
                    <w:tcPr>
                      <w:tcW w:w="4634" w:type="dxa"/>
                    </w:tcPr>
                    <w:p w14:paraId="7DEF112A" w14:textId="77777777" w:rsidR="00223E67" w:rsidRPr="00223E67" w:rsidRDefault="00223E67" w:rsidP="00223E67">
                      <w:pPr>
                        <w:rPr>
                          <w:rFonts w:ascii="Arial" w:hAnsi="Arial" w:cs="Arial"/>
                          <w:sz w:val="22"/>
                          <w:szCs w:val="22"/>
                        </w:rPr>
                      </w:pPr>
                      <w:r w:rsidRPr="00223E67">
                        <w:rPr>
                          <w:rFonts w:ascii="Arial" w:hAnsi="Arial" w:cs="Arial"/>
                          <w:sz w:val="22"/>
                          <w:szCs w:val="22"/>
                        </w:rPr>
                        <w:t>Substantial consultation with stakeholders and the general community was undertaken by the project team prior to lodgement of the application.</w:t>
                      </w:r>
                    </w:p>
                    <w:p w14:paraId="57727F34" w14:textId="77777777" w:rsidR="00223E67" w:rsidRPr="00223E67" w:rsidRDefault="00223E67" w:rsidP="00223E67">
                      <w:pPr>
                        <w:rPr>
                          <w:rFonts w:ascii="Arial" w:hAnsi="Arial" w:cs="Arial"/>
                          <w:sz w:val="22"/>
                          <w:szCs w:val="22"/>
                        </w:rPr>
                      </w:pPr>
                      <w:r w:rsidRPr="00223E67">
                        <w:rPr>
                          <w:rFonts w:ascii="Arial" w:hAnsi="Arial" w:cs="Arial"/>
                          <w:sz w:val="22"/>
                          <w:szCs w:val="22"/>
                        </w:rPr>
                        <w:t>The submitted Communications and Engagement Plan indicates that a series of consultation sessions, media releases and engagement through other mediums (including social media) has been undertaken.</w:t>
                      </w:r>
                    </w:p>
                    <w:p w14:paraId="5E86CCF9" w14:textId="589C67E2" w:rsidR="00223E67" w:rsidRPr="00223E67" w:rsidRDefault="00223E67" w:rsidP="00223E67">
                      <w:pPr>
                        <w:rPr>
                          <w:rFonts w:ascii="Arial" w:hAnsi="Arial" w:cs="Arial"/>
                          <w:sz w:val="22"/>
                          <w:szCs w:val="22"/>
                        </w:rPr>
                      </w:pPr>
                      <w:r w:rsidRPr="00223E67">
                        <w:rPr>
                          <w:rFonts w:ascii="Arial" w:hAnsi="Arial" w:cs="Arial"/>
                          <w:sz w:val="22"/>
                          <w:szCs w:val="22"/>
                        </w:rPr>
                        <w:t>Key themes arising from public feedback ha</w:t>
                      </w:r>
                      <w:r w:rsidR="003D76CE">
                        <w:rPr>
                          <w:rFonts w:ascii="Arial" w:hAnsi="Arial" w:cs="Arial"/>
                          <w:sz w:val="22"/>
                          <w:szCs w:val="22"/>
                        </w:rPr>
                        <w:t>ve</w:t>
                      </w:r>
                      <w:bookmarkStart w:id="0" w:name="_GoBack"/>
                      <w:bookmarkEnd w:id="0"/>
                      <w:r w:rsidRPr="00223E67">
                        <w:rPr>
                          <w:rFonts w:ascii="Arial" w:hAnsi="Arial" w:cs="Arial"/>
                          <w:sz w:val="22"/>
                          <w:szCs w:val="22"/>
                        </w:rPr>
                        <w:t xml:space="preserve"> been incorporated into the development design.</w:t>
                      </w:r>
                    </w:p>
                  </w:tc>
                </w:tr>
                <w:tr w:rsidR="00223E67" w:rsidRPr="00223E67" w14:paraId="1C458463" w14:textId="77777777" w:rsidTr="006039A2">
                  <w:tc>
                    <w:tcPr>
                      <w:tcW w:w="4633" w:type="dxa"/>
                    </w:tcPr>
                    <w:p w14:paraId="61E2620B" w14:textId="77777777" w:rsidR="00223E67" w:rsidRPr="00223E67" w:rsidRDefault="00223E67" w:rsidP="00223E67">
                      <w:pPr>
                        <w:rPr>
                          <w:rFonts w:ascii="Arial" w:hAnsi="Arial" w:cs="Arial"/>
                          <w:sz w:val="22"/>
                          <w:szCs w:val="22"/>
                        </w:rPr>
                      </w:pPr>
                      <w:r w:rsidRPr="00223E67">
                        <w:rPr>
                          <w:rFonts w:ascii="Arial" w:hAnsi="Arial" w:cs="Arial"/>
                          <w:sz w:val="22"/>
                          <w:szCs w:val="22"/>
                        </w:rPr>
                        <w:lastRenderedPageBreak/>
                        <w:t>Bushfire and flooding</w:t>
                      </w:r>
                    </w:p>
                  </w:tc>
                  <w:tc>
                    <w:tcPr>
                      <w:tcW w:w="4634" w:type="dxa"/>
                    </w:tcPr>
                    <w:p w14:paraId="44D82885" w14:textId="77777777" w:rsidR="00223E67" w:rsidRPr="00223E67" w:rsidRDefault="00223E67" w:rsidP="00223E67">
                      <w:pPr>
                        <w:rPr>
                          <w:rFonts w:ascii="Arial" w:hAnsi="Arial" w:cs="Arial"/>
                          <w:sz w:val="22"/>
                          <w:szCs w:val="22"/>
                        </w:rPr>
                      </w:pPr>
                      <w:r w:rsidRPr="00223E67">
                        <w:rPr>
                          <w:rFonts w:ascii="Arial" w:hAnsi="Arial" w:cs="Arial"/>
                          <w:sz w:val="22"/>
                          <w:szCs w:val="22"/>
                        </w:rPr>
                        <w:t xml:space="preserve">The applicant has submitted a response from NSW RFS as part of their </w:t>
                      </w:r>
                      <w:proofErr w:type="spellStart"/>
                      <w:r w:rsidRPr="00223E67">
                        <w:rPr>
                          <w:rFonts w:ascii="Arial" w:hAnsi="Arial" w:cs="Arial"/>
                          <w:sz w:val="22"/>
                          <w:szCs w:val="22"/>
                        </w:rPr>
                        <w:t>pre-lodgement</w:t>
                      </w:r>
                      <w:proofErr w:type="spellEnd"/>
                      <w:r w:rsidRPr="00223E67">
                        <w:rPr>
                          <w:rFonts w:ascii="Arial" w:hAnsi="Arial" w:cs="Arial"/>
                          <w:sz w:val="22"/>
                          <w:szCs w:val="22"/>
                        </w:rPr>
                        <w:t xml:space="preserve"> consultation. RFS provided no comments or objections to the development as proposed.</w:t>
                      </w:r>
                    </w:p>
                    <w:p w14:paraId="33975F11" w14:textId="77777777" w:rsidR="00223E67" w:rsidRPr="00223E67" w:rsidRDefault="00223E67" w:rsidP="00223E67">
                      <w:pPr>
                        <w:rPr>
                          <w:rFonts w:ascii="Arial" w:hAnsi="Arial" w:cs="Arial"/>
                          <w:sz w:val="22"/>
                          <w:szCs w:val="22"/>
                        </w:rPr>
                      </w:pPr>
                      <w:r w:rsidRPr="00223E67">
                        <w:rPr>
                          <w:rFonts w:ascii="Arial" w:hAnsi="Arial" w:cs="Arial"/>
                          <w:sz w:val="22"/>
                          <w:szCs w:val="22"/>
                        </w:rPr>
                        <w:t>Due to the nature of the development, it is not considered necessary to elevate the path and associated works to Council’s flood planning level.</w:t>
                      </w:r>
                    </w:p>
                    <w:p w14:paraId="5126E677" w14:textId="77777777" w:rsidR="00223E67" w:rsidRPr="00223E67" w:rsidRDefault="00223E67" w:rsidP="00223E67">
                      <w:pPr>
                        <w:rPr>
                          <w:rFonts w:ascii="Arial" w:hAnsi="Arial" w:cs="Arial"/>
                          <w:sz w:val="22"/>
                          <w:szCs w:val="22"/>
                        </w:rPr>
                      </w:pPr>
                      <w:r w:rsidRPr="00223E67">
                        <w:rPr>
                          <w:rFonts w:ascii="Arial" w:hAnsi="Arial" w:cs="Arial"/>
                          <w:sz w:val="22"/>
                          <w:szCs w:val="22"/>
                        </w:rPr>
                        <w:t>Flooding and bushfire risks are to be managed by the imposition of a condition requiring an Emergency Management Plan</w:t>
                      </w:r>
                      <w:r w:rsidR="003D76CE">
                        <w:rPr>
                          <w:rFonts w:ascii="Arial" w:hAnsi="Arial" w:cs="Arial"/>
                          <w:sz w:val="22"/>
                          <w:szCs w:val="22"/>
                        </w:rPr>
                        <w:t xml:space="preserve"> (EMP)</w:t>
                      </w:r>
                      <w:r w:rsidRPr="00223E67">
                        <w:rPr>
                          <w:rFonts w:ascii="Arial" w:hAnsi="Arial" w:cs="Arial"/>
                          <w:sz w:val="22"/>
                          <w:szCs w:val="22"/>
                        </w:rPr>
                        <w:t>. The EMP is to comprise the following mitigation measures:</w:t>
                      </w:r>
                    </w:p>
                    <w:p w14:paraId="5C645485" w14:textId="77777777" w:rsidR="00223E67" w:rsidRPr="00223E67" w:rsidRDefault="00223E67" w:rsidP="00223E67">
                      <w:pPr>
                        <w:numPr>
                          <w:ilvl w:val="0"/>
                          <w:numId w:val="33"/>
                        </w:numPr>
                        <w:contextualSpacing/>
                        <w:rPr>
                          <w:rFonts w:ascii="Arial" w:hAnsi="Arial" w:cs="Arial"/>
                          <w:sz w:val="22"/>
                          <w:szCs w:val="22"/>
                        </w:rPr>
                      </w:pPr>
                      <w:r w:rsidRPr="00223E67">
                        <w:rPr>
                          <w:rFonts w:ascii="Arial" w:hAnsi="Arial" w:cs="Arial"/>
                          <w:sz w:val="22"/>
                          <w:szCs w:val="22"/>
                        </w:rPr>
                        <w:t>Use of flood resilient materials for construction;</w:t>
                      </w:r>
                    </w:p>
                    <w:p w14:paraId="100B64BC" w14:textId="77777777" w:rsidR="00223E67" w:rsidRPr="00223E67" w:rsidRDefault="00223E67" w:rsidP="00223E67">
                      <w:pPr>
                        <w:numPr>
                          <w:ilvl w:val="0"/>
                          <w:numId w:val="33"/>
                        </w:numPr>
                        <w:contextualSpacing/>
                        <w:rPr>
                          <w:rFonts w:ascii="Arial" w:hAnsi="Arial" w:cs="Arial"/>
                          <w:sz w:val="22"/>
                          <w:szCs w:val="22"/>
                        </w:rPr>
                      </w:pPr>
                      <w:r w:rsidRPr="00223E67">
                        <w:rPr>
                          <w:rFonts w:ascii="Arial" w:hAnsi="Arial" w:cs="Arial"/>
                          <w:sz w:val="22"/>
                          <w:szCs w:val="22"/>
                        </w:rPr>
                        <w:t>Delivery of signage and safety structures;</w:t>
                      </w:r>
                    </w:p>
                    <w:p w14:paraId="202441C9" w14:textId="77777777" w:rsidR="00223E67" w:rsidRPr="00223E67" w:rsidRDefault="00223E67" w:rsidP="00223E67">
                      <w:pPr>
                        <w:numPr>
                          <w:ilvl w:val="0"/>
                          <w:numId w:val="33"/>
                        </w:numPr>
                        <w:contextualSpacing/>
                        <w:rPr>
                          <w:rFonts w:ascii="Arial" w:hAnsi="Arial" w:cs="Arial"/>
                          <w:sz w:val="22"/>
                          <w:szCs w:val="22"/>
                        </w:rPr>
                      </w:pPr>
                      <w:r w:rsidRPr="00223E67">
                        <w:rPr>
                          <w:rFonts w:ascii="Arial" w:hAnsi="Arial" w:cs="Arial"/>
                          <w:sz w:val="22"/>
                          <w:szCs w:val="22"/>
                        </w:rPr>
                        <w:t>Procedures for closure of the track in the event of emergency;</w:t>
                      </w:r>
                    </w:p>
                    <w:p w14:paraId="29FC8C6B" w14:textId="77777777" w:rsidR="00223E67" w:rsidRPr="00223E67" w:rsidRDefault="00223E67" w:rsidP="00223E67">
                      <w:pPr>
                        <w:numPr>
                          <w:ilvl w:val="0"/>
                          <w:numId w:val="33"/>
                        </w:numPr>
                        <w:contextualSpacing/>
                        <w:rPr>
                          <w:rFonts w:ascii="Arial" w:hAnsi="Arial" w:cs="Arial"/>
                          <w:sz w:val="22"/>
                          <w:szCs w:val="22"/>
                        </w:rPr>
                      </w:pPr>
                      <w:r w:rsidRPr="00223E67">
                        <w:rPr>
                          <w:rFonts w:ascii="Arial" w:hAnsi="Arial" w:cs="Arial"/>
                          <w:sz w:val="22"/>
                          <w:szCs w:val="22"/>
                        </w:rPr>
                        <w:t>Consideration of the potential impacts of flood debris.</w:t>
                      </w:r>
                    </w:p>
                    <w:p w14:paraId="58A3BAE3" w14:textId="77777777" w:rsidR="00223E67" w:rsidRPr="00223E67" w:rsidRDefault="00223E67" w:rsidP="00223E67">
                      <w:pPr>
                        <w:rPr>
                          <w:rFonts w:ascii="Arial" w:hAnsi="Arial" w:cs="Arial"/>
                          <w:sz w:val="22"/>
                          <w:szCs w:val="22"/>
                        </w:rPr>
                      </w:pPr>
                      <w:r w:rsidRPr="00223E67">
                        <w:rPr>
                          <w:rFonts w:ascii="Arial" w:hAnsi="Arial" w:cs="Arial"/>
                          <w:sz w:val="22"/>
                          <w:szCs w:val="22"/>
                        </w:rPr>
                        <w:t>Suitable stormwater management and erosion and sediment control measures are proposed.</w:t>
                      </w:r>
                    </w:p>
                  </w:tc>
                </w:tr>
                <w:tr w:rsidR="00223E67" w:rsidRPr="00223E67" w14:paraId="76304024" w14:textId="77777777" w:rsidTr="006039A2">
                  <w:tc>
                    <w:tcPr>
                      <w:tcW w:w="4633" w:type="dxa"/>
                    </w:tcPr>
                    <w:p w14:paraId="31F48F5A" w14:textId="77777777" w:rsidR="00223E67" w:rsidRPr="00223E67" w:rsidRDefault="00223E67" w:rsidP="00223E67">
                      <w:pPr>
                        <w:rPr>
                          <w:rFonts w:ascii="Arial" w:hAnsi="Arial" w:cs="Arial"/>
                          <w:sz w:val="22"/>
                          <w:szCs w:val="22"/>
                        </w:rPr>
                      </w:pPr>
                      <w:r w:rsidRPr="00223E67">
                        <w:rPr>
                          <w:rFonts w:ascii="Arial" w:hAnsi="Arial" w:cs="Arial"/>
                          <w:sz w:val="22"/>
                          <w:szCs w:val="22"/>
                        </w:rPr>
                        <w:t>Visual</w:t>
                      </w:r>
                    </w:p>
                  </w:tc>
                  <w:tc>
                    <w:tcPr>
                      <w:tcW w:w="4634" w:type="dxa"/>
                    </w:tcPr>
                    <w:p w14:paraId="0E2C2AD1" w14:textId="77777777" w:rsidR="00223E67" w:rsidRPr="00223E67" w:rsidRDefault="00223E67" w:rsidP="00223E67">
                      <w:pPr>
                        <w:rPr>
                          <w:rFonts w:ascii="Arial" w:hAnsi="Arial" w:cs="Arial"/>
                          <w:sz w:val="22"/>
                          <w:szCs w:val="22"/>
                        </w:rPr>
                      </w:pPr>
                      <w:r w:rsidRPr="00223E67">
                        <w:rPr>
                          <w:rFonts w:ascii="Arial" w:hAnsi="Arial" w:cs="Arial"/>
                          <w:sz w:val="22"/>
                          <w:szCs w:val="22"/>
                        </w:rPr>
                        <w:t>A Visual Impact Assessment has been submitted in accordance with the SEARs and Council’s DCP. Council’s Landscape Architect noted:</w:t>
                      </w:r>
                    </w:p>
                    <w:p w14:paraId="4F735377" w14:textId="77777777" w:rsidR="00223E67" w:rsidRPr="00223E67" w:rsidRDefault="00223E67" w:rsidP="00223E67">
                      <w:pPr>
                        <w:ind w:left="567"/>
                        <w:rPr>
                          <w:rFonts w:ascii="Arial" w:hAnsi="Arial" w:cs="Arial"/>
                          <w:i/>
                          <w:sz w:val="22"/>
                          <w:szCs w:val="22"/>
                        </w:rPr>
                      </w:pPr>
                      <w:r w:rsidRPr="00223E67">
                        <w:rPr>
                          <w:rFonts w:ascii="Arial" w:hAnsi="Arial" w:cs="Arial"/>
                          <w:i/>
                          <w:sz w:val="22"/>
                          <w:szCs w:val="22"/>
                        </w:rPr>
                        <w:t xml:space="preserve">The findings of the Visual Impact Assessment are supported with the proposal generally meeting the scenic management guidelines for the route.  </w:t>
                      </w:r>
                    </w:p>
                    <w:p w14:paraId="1655D745" w14:textId="77777777" w:rsidR="00223E67" w:rsidRPr="00223E67" w:rsidRDefault="00223E67" w:rsidP="00223E67">
                      <w:pPr>
                        <w:ind w:left="567"/>
                        <w:rPr>
                          <w:rFonts w:ascii="Arial" w:hAnsi="Arial" w:cs="Arial"/>
                          <w:sz w:val="22"/>
                          <w:szCs w:val="22"/>
                        </w:rPr>
                      </w:pPr>
                      <w:r w:rsidRPr="00223E67">
                        <w:rPr>
                          <w:rFonts w:ascii="Arial" w:hAnsi="Arial" w:cs="Arial"/>
                          <w:i/>
                          <w:sz w:val="22"/>
                          <w:szCs w:val="22"/>
                        </w:rPr>
                        <w:t>The proposed signage is not considered intrusive with muted colours and scale proportional to the proposed use on Conservation lands.  The proposed viewing platform, boardwalk and pedestrian bridge over Tea Tree Creek are visually permeable, well designed lightweight structures in keeping with the highly valued sensitive coastal environment and appear to be finished in muted colours.</w:t>
                      </w:r>
                      <w:r w:rsidRPr="00223E67">
                        <w:rPr>
                          <w:rFonts w:ascii="Arial" w:hAnsi="Arial" w:cs="Arial"/>
                          <w:sz w:val="22"/>
                          <w:szCs w:val="22"/>
                        </w:rPr>
                        <w:t xml:space="preserve">  </w:t>
                      </w:r>
                    </w:p>
                  </w:tc>
                </w:tr>
                <w:tr w:rsidR="00223E67" w:rsidRPr="00223E67" w14:paraId="1AEEF411" w14:textId="77777777" w:rsidTr="006039A2">
                  <w:tc>
                    <w:tcPr>
                      <w:tcW w:w="4633" w:type="dxa"/>
                    </w:tcPr>
                    <w:p w14:paraId="34198942" w14:textId="77777777" w:rsidR="00223E67" w:rsidRPr="00223E67" w:rsidRDefault="00223E67" w:rsidP="00223E67">
                      <w:pPr>
                        <w:rPr>
                          <w:rFonts w:ascii="Arial" w:hAnsi="Arial" w:cs="Arial"/>
                          <w:sz w:val="22"/>
                          <w:szCs w:val="22"/>
                        </w:rPr>
                      </w:pPr>
                      <w:r w:rsidRPr="00223E67">
                        <w:rPr>
                          <w:rFonts w:ascii="Arial" w:hAnsi="Arial" w:cs="Arial"/>
                          <w:sz w:val="22"/>
                          <w:szCs w:val="22"/>
                        </w:rPr>
                        <w:t>Heritage</w:t>
                      </w:r>
                    </w:p>
                  </w:tc>
                  <w:tc>
                    <w:tcPr>
                      <w:tcW w:w="4634" w:type="dxa"/>
                    </w:tcPr>
                    <w:p w14:paraId="52B37D45" w14:textId="77777777" w:rsidR="00223E67" w:rsidRPr="00223E67" w:rsidRDefault="00223E67" w:rsidP="00223E67">
                      <w:pPr>
                        <w:rPr>
                          <w:rFonts w:ascii="Arial" w:hAnsi="Arial" w:cs="Arial"/>
                          <w:sz w:val="22"/>
                          <w:szCs w:val="22"/>
                        </w:rPr>
                      </w:pPr>
                      <w:r w:rsidRPr="00223E67">
                        <w:rPr>
                          <w:rFonts w:ascii="Arial" w:hAnsi="Arial" w:cs="Arial"/>
                          <w:sz w:val="22"/>
                          <w:szCs w:val="22"/>
                        </w:rPr>
                        <w:t xml:space="preserve">An Aboriginal and Cultural Heritage Report has been submitted in response to this requirement. The report notes extensive preliminary consultation was undertaken with local aboriginal groups, and the development </w:t>
                      </w:r>
                      <w:r w:rsidRPr="00223E67">
                        <w:rPr>
                          <w:rFonts w:ascii="Arial" w:hAnsi="Arial" w:cs="Arial"/>
                          <w:sz w:val="22"/>
                          <w:szCs w:val="22"/>
                        </w:rPr>
                        <w:lastRenderedPageBreak/>
                        <w:t>design and features were drafted accordingly.</w:t>
                      </w:r>
                    </w:p>
                    <w:p w14:paraId="4AD9A72B" w14:textId="77777777" w:rsidR="00223E67" w:rsidRPr="00223E67" w:rsidRDefault="00223E67" w:rsidP="00223E67">
                      <w:pPr>
                        <w:rPr>
                          <w:rFonts w:ascii="Arial" w:hAnsi="Arial" w:cs="Arial"/>
                          <w:sz w:val="22"/>
                          <w:szCs w:val="22"/>
                        </w:rPr>
                      </w:pPr>
                      <w:r w:rsidRPr="00223E67">
                        <w:rPr>
                          <w:rFonts w:ascii="Arial" w:hAnsi="Arial" w:cs="Arial"/>
                          <w:sz w:val="22"/>
                          <w:szCs w:val="22"/>
                        </w:rPr>
                        <w:t>The report indicates a high degree of engagement from local aboriginal groups dating from July 2020.</w:t>
                      </w:r>
                    </w:p>
                  </w:tc>
                </w:tr>
                <w:tr w:rsidR="00223E67" w:rsidRPr="00223E67" w14:paraId="4F1C356A" w14:textId="77777777" w:rsidTr="006039A2">
                  <w:tc>
                    <w:tcPr>
                      <w:tcW w:w="4633" w:type="dxa"/>
                    </w:tcPr>
                    <w:p w14:paraId="5C15E2AD" w14:textId="77777777" w:rsidR="00223E67" w:rsidRPr="00223E67" w:rsidRDefault="00223E67" w:rsidP="00223E67">
                      <w:pPr>
                        <w:rPr>
                          <w:rFonts w:ascii="Arial" w:hAnsi="Arial" w:cs="Arial"/>
                          <w:sz w:val="22"/>
                          <w:szCs w:val="22"/>
                        </w:rPr>
                      </w:pPr>
                      <w:r w:rsidRPr="00223E67">
                        <w:rPr>
                          <w:rFonts w:ascii="Arial" w:hAnsi="Arial" w:cs="Arial"/>
                          <w:sz w:val="22"/>
                          <w:szCs w:val="22"/>
                        </w:rPr>
                        <w:lastRenderedPageBreak/>
                        <w:t>Environmental Planning Instruments</w:t>
                      </w:r>
                    </w:p>
                  </w:tc>
                  <w:tc>
                    <w:tcPr>
                      <w:tcW w:w="4634" w:type="dxa"/>
                    </w:tcPr>
                    <w:p w14:paraId="4EA5F105" w14:textId="77777777" w:rsidR="00223E67" w:rsidRPr="00223E67" w:rsidRDefault="00223E67" w:rsidP="00223E67">
                      <w:pPr>
                        <w:rPr>
                          <w:rFonts w:ascii="Arial" w:hAnsi="Arial" w:cs="Arial"/>
                          <w:sz w:val="22"/>
                          <w:szCs w:val="22"/>
                        </w:rPr>
                      </w:pPr>
                      <w:r w:rsidRPr="00223E67">
                        <w:rPr>
                          <w:rFonts w:ascii="Arial" w:hAnsi="Arial" w:cs="Arial"/>
                          <w:sz w:val="22"/>
                          <w:szCs w:val="22"/>
                        </w:rPr>
                        <w:t>The application embodies appropriate consideration of applicable EPIs as detailed throughout this report.</w:t>
                      </w:r>
                    </w:p>
                  </w:tc>
                </w:tr>
                <w:tr w:rsidR="00223E67" w:rsidRPr="00223E67" w14:paraId="261EF4D4" w14:textId="77777777" w:rsidTr="006039A2">
                  <w:tc>
                    <w:tcPr>
                      <w:tcW w:w="4633" w:type="dxa"/>
                    </w:tcPr>
                    <w:p w14:paraId="083A133B" w14:textId="77777777" w:rsidR="00223E67" w:rsidRPr="00223E67" w:rsidRDefault="00223E67" w:rsidP="00223E67">
                      <w:pPr>
                        <w:rPr>
                          <w:rFonts w:ascii="Arial" w:hAnsi="Arial" w:cs="Arial"/>
                          <w:sz w:val="22"/>
                          <w:szCs w:val="22"/>
                        </w:rPr>
                      </w:pPr>
                      <w:r w:rsidRPr="00223E67">
                        <w:rPr>
                          <w:rFonts w:ascii="Arial" w:hAnsi="Arial" w:cs="Arial"/>
                          <w:sz w:val="22"/>
                          <w:szCs w:val="22"/>
                        </w:rPr>
                        <w:t>Department’s Register of Development Assessment Guidelines</w:t>
                      </w:r>
                    </w:p>
                  </w:tc>
                  <w:tc>
                    <w:tcPr>
                      <w:tcW w:w="4634" w:type="dxa"/>
                    </w:tcPr>
                    <w:p w14:paraId="37006B3E" w14:textId="77777777" w:rsidR="00223E67" w:rsidRPr="00223E67" w:rsidRDefault="00223E67" w:rsidP="00223E67">
                      <w:pPr>
                        <w:rPr>
                          <w:rFonts w:ascii="Arial" w:hAnsi="Arial" w:cs="Arial"/>
                          <w:sz w:val="22"/>
                          <w:szCs w:val="22"/>
                        </w:rPr>
                      </w:pPr>
                      <w:r w:rsidRPr="00223E67">
                        <w:rPr>
                          <w:rFonts w:ascii="Arial" w:hAnsi="Arial" w:cs="Arial"/>
                          <w:sz w:val="22"/>
                          <w:szCs w:val="22"/>
                        </w:rPr>
                        <w:t>The applicant has lodged a full suite of documents, drawings and reports in accordance with DPIE guidelines.</w:t>
                      </w:r>
                    </w:p>
                  </w:tc>
                </w:tr>
                <w:tr w:rsidR="00223E67" w:rsidRPr="00223E67" w14:paraId="77476A11" w14:textId="77777777" w:rsidTr="006039A2">
                  <w:tc>
                    <w:tcPr>
                      <w:tcW w:w="4633" w:type="dxa"/>
                    </w:tcPr>
                    <w:p w14:paraId="0CA3318D" w14:textId="77777777" w:rsidR="00223E67" w:rsidRPr="00223E67" w:rsidRDefault="00223E67" w:rsidP="00223E67">
                      <w:pPr>
                        <w:rPr>
                          <w:rFonts w:ascii="Arial" w:hAnsi="Arial" w:cs="Arial"/>
                          <w:sz w:val="22"/>
                          <w:szCs w:val="22"/>
                        </w:rPr>
                      </w:pPr>
                      <w:r w:rsidRPr="00223E67">
                        <w:rPr>
                          <w:rFonts w:ascii="Arial" w:hAnsi="Arial" w:cs="Arial"/>
                          <w:sz w:val="22"/>
                          <w:szCs w:val="22"/>
                        </w:rPr>
                        <w:t>Consultation</w:t>
                      </w:r>
                    </w:p>
                  </w:tc>
                  <w:tc>
                    <w:tcPr>
                      <w:tcW w:w="4634" w:type="dxa"/>
                    </w:tcPr>
                    <w:p w14:paraId="6BB09B1A" w14:textId="77777777" w:rsidR="00223E67" w:rsidRPr="00223E67" w:rsidRDefault="00223E67" w:rsidP="00223E67">
                      <w:pPr>
                        <w:rPr>
                          <w:rFonts w:ascii="Arial" w:hAnsi="Arial" w:cs="Arial"/>
                          <w:sz w:val="22"/>
                          <w:szCs w:val="22"/>
                        </w:rPr>
                      </w:pPr>
                      <w:r w:rsidRPr="00223E67">
                        <w:rPr>
                          <w:rFonts w:ascii="Arial" w:hAnsi="Arial" w:cs="Arial"/>
                          <w:sz w:val="22"/>
                          <w:szCs w:val="22"/>
                        </w:rPr>
                        <w:t>Extensive consultation has been undertaken by the applicant in preparation for lodgement of the application, including the agencies and stakeholders nominated by the Planning Secretary.</w:t>
                      </w:r>
                    </w:p>
                    <w:p w14:paraId="713B2D14" w14:textId="77777777" w:rsidR="00223E67" w:rsidRPr="00223E67" w:rsidRDefault="00223E67" w:rsidP="00223E67">
                      <w:pPr>
                        <w:rPr>
                          <w:rFonts w:ascii="Arial" w:hAnsi="Arial" w:cs="Arial"/>
                          <w:sz w:val="22"/>
                          <w:szCs w:val="22"/>
                        </w:rPr>
                      </w:pPr>
                      <w:r w:rsidRPr="00223E67">
                        <w:rPr>
                          <w:rFonts w:ascii="Arial" w:hAnsi="Arial" w:cs="Arial"/>
                          <w:sz w:val="22"/>
                          <w:szCs w:val="22"/>
                        </w:rPr>
                        <w:t>Additional consultation was undertaking during assessment, including public notification to adjoining landowners and referral of the application to relevant agencies.</w:t>
                      </w:r>
                    </w:p>
                    <w:p w14:paraId="063D4331" w14:textId="77777777" w:rsidR="00223E67" w:rsidRPr="00223E67" w:rsidRDefault="00223E67" w:rsidP="00223E67">
                      <w:pPr>
                        <w:rPr>
                          <w:rFonts w:ascii="Arial" w:hAnsi="Arial" w:cs="Arial"/>
                          <w:sz w:val="22"/>
                          <w:szCs w:val="22"/>
                        </w:rPr>
                      </w:pPr>
                      <w:r w:rsidRPr="00223E67">
                        <w:rPr>
                          <w:rFonts w:ascii="Arial" w:hAnsi="Arial" w:cs="Arial"/>
                          <w:sz w:val="22"/>
                          <w:szCs w:val="22"/>
                        </w:rPr>
                        <w:t>All matters arising from referrals and consultation have been satisfied.</w:t>
                      </w:r>
                    </w:p>
                  </w:tc>
                </w:tr>
              </w:tbl>
              <w:p w14:paraId="09BD0205" w14:textId="77777777" w:rsidR="00223E67" w:rsidRPr="00223E67" w:rsidRDefault="00223E67" w:rsidP="00223E67">
                <w:pPr>
                  <w:rPr>
                    <w:rFonts w:cs="Arial"/>
                    <w:szCs w:val="22"/>
                  </w:rPr>
                </w:pPr>
              </w:p>
              <w:p w14:paraId="33032666" w14:textId="77777777" w:rsidR="00223E67" w:rsidRPr="00223E67" w:rsidRDefault="00856820" w:rsidP="00223E67">
                <w:pPr>
                  <w:rPr>
                    <w:rFonts w:cs="Arial"/>
                    <w:szCs w:val="22"/>
                  </w:rPr>
                </w:pPr>
              </w:p>
            </w:sdtContent>
          </w:sdt>
        </w:tc>
      </w:tr>
    </w:tbl>
    <w:p w14:paraId="5C6A6DD1" w14:textId="77777777" w:rsidR="00483878" w:rsidRPr="00223E67" w:rsidRDefault="00483878" w:rsidP="009F7C3A">
      <w:pPr>
        <w:rPr>
          <w:rFonts w:cs="Arial"/>
          <w:szCs w:val="22"/>
        </w:rPr>
      </w:pPr>
    </w:p>
    <w:sectPr w:rsidR="00483878" w:rsidRPr="00223E67" w:rsidSect="009C3D13">
      <w:pgSz w:w="11906" w:h="16838"/>
      <w:pgMar w:top="1440" w:right="1440" w:bottom="1701" w:left="1701" w:header="567" w:footer="567"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925D5" w14:textId="77777777" w:rsidR="00856820" w:rsidRDefault="00856820" w:rsidP="00493096">
      <w:pPr>
        <w:spacing w:after="0"/>
      </w:pPr>
      <w:r>
        <w:separator/>
      </w:r>
    </w:p>
  </w:endnote>
  <w:endnote w:type="continuationSeparator" w:id="0">
    <w:p w14:paraId="5D282D1A" w14:textId="77777777" w:rsidR="00856820" w:rsidRDefault="00856820"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06094" w14:textId="77777777" w:rsidR="00856820" w:rsidRDefault="00856820" w:rsidP="00493096">
      <w:pPr>
        <w:spacing w:after="0"/>
      </w:pPr>
      <w:r>
        <w:separator/>
      </w:r>
    </w:p>
  </w:footnote>
  <w:footnote w:type="continuationSeparator" w:id="0">
    <w:p w14:paraId="4DD59AC9" w14:textId="77777777" w:rsidR="00856820" w:rsidRDefault="00856820"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4D8F2DF3"/>
    <w:multiLevelType w:val="hybridMultilevel"/>
    <w:tmpl w:val="C52CD63E"/>
    <w:lvl w:ilvl="0" w:tplc="B25849E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4"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3"/>
  </w:num>
  <w:num w:numId="4">
    <w:abstractNumId w:val="3"/>
  </w:num>
  <w:num w:numId="5">
    <w:abstractNumId w:val="0"/>
  </w:num>
  <w:num w:numId="6">
    <w:abstractNumId w:val="5"/>
  </w:num>
  <w:num w:numId="7">
    <w:abstractNumId w:val="4"/>
  </w:num>
  <w:num w:numId="8">
    <w:abstractNumId w:val="1"/>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0"/>
  </w:num>
  <w:num w:numId="22">
    <w:abstractNumId w:val="5"/>
  </w:num>
  <w:num w:numId="23">
    <w:abstractNumId w:val="4"/>
  </w:num>
  <w:num w:numId="24">
    <w:abstractNumId w:val="1"/>
  </w:num>
  <w:num w:numId="25">
    <w:abstractNumId w:val="3"/>
  </w:num>
  <w:num w:numId="26">
    <w:abstractNumId w:val="3"/>
  </w:num>
  <w:num w:numId="27">
    <w:abstractNumId w:val="3"/>
  </w:num>
  <w:num w:numId="28">
    <w:abstractNumId w:val="3"/>
  </w:num>
  <w:num w:numId="29">
    <w:abstractNumId w:val="0"/>
  </w:num>
  <w:num w:numId="30">
    <w:abstractNumId w:val="5"/>
  </w:num>
  <w:num w:numId="31">
    <w:abstractNumId w:val="4"/>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WithLetterhead" w:val="True"/>
  </w:docVars>
  <w:rsids>
    <w:rsidRoot w:val="00223E67"/>
    <w:rsid w:val="00042236"/>
    <w:rsid w:val="00057070"/>
    <w:rsid w:val="00057F1D"/>
    <w:rsid w:val="000D08A5"/>
    <w:rsid w:val="000D1CE9"/>
    <w:rsid w:val="000D7183"/>
    <w:rsid w:val="000E045F"/>
    <w:rsid w:val="000E0F23"/>
    <w:rsid w:val="000E477E"/>
    <w:rsid w:val="000E61BF"/>
    <w:rsid w:val="000F4CC6"/>
    <w:rsid w:val="00112123"/>
    <w:rsid w:val="001230B3"/>
    <w:rsid w:val="00132236"/>
    <w:rsid w:val="001333E6"/>
    <w:rsid w:val="0015675E"/>
    <w:rsid w:val="0016189F"/>
    <w:rsid w:val="00167169"/>
    <w:rsid w:val="001A16D5"/>
    <w:rsid w:val="001C28AD"/>
    <w:rsid w:val="001C5115"/>
    <w:rsid w:val="00215A6F"/>
    <w:rsid w:val="00223E67"/>
    <w:rsid w:val="002331EE"/>
    <w:rsid w:val="00241430"/>
    <w:rsid w:val="00255BA4"/>
    <w:rsid w:val="00264C91"/>
    <w:rsid w:val="002959DF"/>
    <w:rsid w:val="002F55EA"/>
    <w:rsid w:val="002F72F0"/>
    <w:rsid w:val="00312E01"/>
    <w:rsid w:val="003409A9"/>
    <w:rsid w:val="003731A5"/>
    <w:rsid w:val="00376B2C"/>
    <w:rsid w:val="00380E6D"/>
    <w:rsid w:val="00385918"/>
    <w:rsid w:val="003A16F2"/>
    <w:rsid w:val="003A5502"/>
    <w:rsid w:val="003C7115"/>
    <w:rsid w:val="003D76CE"/>
    <w:rsid w:val="003F1F9B"/>
    <w:rsid w:val="004121B8"/>
    <w:rsid w:val="00416663"/>
    <w:rsid w:val="004378A5"/>
    <w:rsid w:val="0047093E"/>
    <w:rsid w:val="00471CEA"/>
    <w:rsid w:val="0047210F"/>
    <w:rsid w:val="00483878"/>
    <w:rsid w:val="00491184"/>
    <w:rsid w:val="00493096"/>
    <w:rsid w:val="00493E71"/>
    <w:rsid w:val="004947B1"/>
    <w:rsid w:val="004B407E"/>
    <w:rsid w:val="004C095E"/>
    <w:rsid w:val="004C4688"/>
    <w:rsid w:val="00501604"/>
    <w:rsid w:val="005059B2"/>
    <w:rsid w:val="005152BA"/>
    <w:rsid w:val="00566FB6"/>
    <w:rsid w:val="00572921"/>
    <w:rsid w:val="00587F92"/>
    <w:rsid w:val="005C5DDE"/>
    <w:rsid w:val="006004DA"/>
    <w:rsid w:val="00612B19"/>
    <w:rsid w:val="00612B48"/>
    <w:rsid w:val="00687208"/>
    <w:rsid w:val="006968C1"/>
    <w:rsid w:val="006B16EF"/>
    <w:rsid w:val="006D7440"/>
    <w:rsid w:val="006E5492"/>
    <w:rsid w:val="006E6B61"/>
    <w:rsid w:val="007226D1"/>
    <w:rsid w:val="00782256"/>
    <w:rsid w:val="007940E5"/>
    <w:rsid w:val="007B6EED"/>
    <w:rsid w:val="007D1926"/>
    <w:rsid w:val="007D3D38"/>
    <w:rsid w:val="007E5C31"/>
    <w:rsid w:val="007E7F47"/>
    <w:rsid w:val="00856820"/>
    <w:rsid w:val="00884891"/>
    <w:rsid w:val="008A48FD"/>
    <w:rsid w:val="008B2044"/>
    <w:rsid w:val="008B5891"/>
    <w:rsid w:val="008F4CE4"/>
    <w:rsid w:val="008F7C2A"/>
    <w:rsid w:val="009004F9"/>
    <w:rsid w:val="009047F6"/>
    <w:rsid w:val="00987B30"/>
    <w:rsid w:val="009A6F2C"/>
    <w:rsid w:val="009C3D13"/>
    <w:rsid w:val="009D1CCD"/>
    <w:rsid w:val="009F7C3A"/>
    <w:rsid w:val="00A270C3"/>
    <w:rsid w:val="00A50DB0"/>
    <w:rsid w:val="00A64771"/>
    <w:rsid w:val="00A650A1"/>
    <w:rsid w:val="00A719AF"/>
    <w:rsid w:val="00A87295"/>
    <w:rsid w:val="00A96FF7"/>
    <w:rsid w:val="00AA393B"/>
    <w:rsid w:val="00AB36DB"/>
    <w:rsid w:val="00AC3CE8"/>
    <w:rsid w:val="00B112DD"/>
    <w:rsid w:val="00B34819"/>
    <w:rsid w:val="00B7207F"/>
    <w:rsid w:val="00B82A1C"/>
    <w:rsid w:val="00BA49E2"/>
    <w:rsid w:val="00BC5A0C"/>
    <w:rsid w:val="00BF2FF5"/>
    <w:rsid w:val="00BF3AC1"/>
    <w:rsid w:val="00C11F69"/>
    <w:rsid w:val="00C14974"/>
    <w:rsid w:val="00C20221"/>
    <w:rsid w:val="00C47547"/>
    <w:rsid w:val="00C51B5E"/>
    <w:rsid w:val="00C52980"/>
    <w:rsid w:val="00C56868"/>
    <w:rsid w:val="00C63A2F"/>
    <w:rsid w:val="00C674DB"/>
    <w:rsid w:val="00C93C83"/>
    <w:rsid w:val="00C94387"/>
    <w:rsid w:val="00CA0B46"/>
    <w:rsid w:val="00CA4064"/>
    <w:rsid w:val="00CA6E7B"/>
    <w:rsid w:val="00CF4F24"/>
    <w:rsid w:val="00D40483"/>
    <w:rsid w:val="00D507C0"/>
    <w:rsid w:val="00D60853"/>
    <w:rsid w:val="00D80F69"/>
    <w:rsid w:val="00D878F6"/>
    <w:rsid w:val="00D92B16"/>
    <w:rsid w:val="00DC04F3"/>
    <w:rsid w:val="00DD3B7A"/>
    <w:rsid w:val="00E219DB"/>
    <w:rsid w:val="00E43F12"/>
    <w:rsid w:val="00E50373"/>
    <w:rsid w:val="00E557A5"/>
    <w:rsid w:val="00E710A9"/>
    <w:rsid w:val="00E820D7"/>
    <w:rsid w:val="00E860DF"/>
    <w:rsid w:val="00E9250E"/>
    <w:rsid w:val="00ED4025"/>
    <w:rsid w:val="00F130D5"/>
    <w:rsid w:val="00F13E1C"/>
    <w:rsid w:val="00F80E44"/>
    <w:rsid w:val="00F95692"/>
    <w:rsid w:val="00FA432E"/>
    <w:rsid w:val="00FC0427"/>
    <w:rsid w:val="00FC0826"/>
    <w:rsid w:val="00FC4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CED55"/>
  <w14:discardImageEditingData/>
  <w15:chartTrackingRefBased/>
  <w15:docId w15:val="{342D03BE-37F7-4E06-BF46-BB49D99F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13E1C"/>
    <w:pPr>
      <w:spacing w:after="160"/>
      <w:ind w:left="0" w:firstLine="0"/>
    </w:pPr>
    <w:rPr>
      <w:szCs w:val="24"/>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28"/>
      </w:numPr>
      <w:spacing w:before="120" w:after="240"/>
    </w:pPr>
  </w:style>
  <w:style w:type="paragraph" w:customStyle="1" w:styleId="NoHeading2">
    <w:name w:val="No Heading 2"/>
    <w:basedOn w:val="Heading2"/>
    <w:next w:val="Normal"/>
    <w:qFormat/>
    <w:rsid w:val="00DD3B7A"/>
    <w:pPr>
      <w:numPr>
        <w:ilvl w:val="1"/>
        <w:numId w:val="28"/>
      </w:numPr>
    </w:pPr>
    <w:rPr>
      <w:szCs w:val="20"/>
    </w:rPr>
  </w:style>
  <w:style w:type="paragraph" w:customStyle="1" w:styleId="NoHeading3">
    <w:name w:val="No Heading 3"/>
    <w:basedOn w:val="Heading3"/>
    <w:next w:val="Normal"/>
    <w:qFormat/>
    <w:rsid w:val="00DD3B7A"/>
    <w:pPr>
      <w:numPr>
        <w:ilvl w:val="2"/>
        <w:numId w:val="28"/>
      </w:numPr>
    </w:pPr>
  </w:style>
  <w:style w:type="paragraph" w:customStyle="1" w:styleId="NoHeading4">
    <w:name w:val="No Heading 4"/>
    <w:basedOn w:val="Heading4"/>
    <w:next w:val="Normal"/>
    <w:qFormat/>
    <w:rsid w:val="00DD3B7A"/>
    <w:pPr>
      <w:numPr>
        <w:ilvl w:val="3"/>
        <w:numId w:val="28"/>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9"/>
      </w:numPr>
    </w:pPr>
    <w:rPr>
      <w:rFonts w:ascii="Arial Bold" w:hAnsi="Arial Bold"/>
      <w:b/>
    </w:rPr>
  </w:style>
  <w:style w:type="paragraph" w:customStyle="1" w:styleId="PathwayCondNo">
    <w:name w:val="PathwayCondNo"/>
    <w:basedOn w:val="Normal"/>
    <w:next w:val="Normal"/>
    <w:rsid w:val="00DD3B7A"/>
    <w:pPr>
      <w:numPr>
        <w:numId w:val="30"/>
      </w:numPr>
    </w:pPr>
    <w:rPr>
      <w:rFonts w:cs="Arial"/>
      <w:b/>
    </w:rPr>
  </w:style>
  <w:style w:type="paragraph" w:customStyle="1" w:styleId="PathwayCondNo1">
    <w:name w:val="PathwayCondNo1"/>
    <w:basedOn w:val="PathwayCondNo"/>
    <w:next w:val="Normal"/>
    <w:rsid w:val="00DD3B7A"/>
    <w:pPr>
      <w:numPr>
        <w:numId w:val="31"/>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32"/>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rsid w:val="004C4688"/>
    <w:pPr>
      <w:spacing w:after="60"/>
      <w:ind w:left="851" w:hanging="284"/>
      <w:contextualSpacing/>
    </w:pPr>
  </w:style>
  <w:style w:type="character" w:customStyle="1" w:styleId="FooterChar">
    <w:name w:val="Footer Char"/>
    <w:basedOn w:val="DefaultParagraphFont"/>
    <w:link w:val="Footer"/>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table" w:customStyle="1" w:styleId="TableGrid1">
    <w:name w:val="Table Grid1"/>
    <w:basedOn w:val="TableNormal"/>
    <w:next w:val="TableGrid"/>
    <w:rsid w:val="00223E67"/>
    <w:pPr>
      <w:spacing w:after="160"/>
      <w:ind w:left="0" w:firstLine="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D76CE"/>
    <w:rPr>
      <w:sz w:val="16"/>
      <w:szCs w:val="16"/>
    </w:rPr>
  </w:style>
  <w:style w:type="paragraph" w:styleId="CommentText">
    <w:name w:val="annotation text"/>
    <w:basedOn w:val="Normal"/>
    <w:link w:val="CommentTextChar"/>
    <w:semiHidden/>
    <w:unhideWhenUsed/>
    <w:rsid w:val="003D76CE"/>
    <w:rPr>
      <w:sz w:val="20"/>
      <w:szCs w:val="20"/>
    </w:rPr>
  </w:style>
  <w:style w:type="character" w:customStyle="1" w:styleId="CommentTextChar">
    <w:name w:val="Comment Text Char"/>
    <w:basedOn w:val="DefaultParagraphFont"/>
    <w:link w:val="CommentText"/>
    <w:semiHidden/>
    <w:rsid w:val="003D76CE"/>
    <w:rPr>
      <w:sz w:val="20"/>
      <w:szCs w:val="20"/>
    </w:rPr>
  </w:style>
  <w:style w:type="paragraph" w:styleId="CommentSubject">
    <w:name w:val="annotation subject"/>
    <w:basedOn w:val="CommentText"/>
    <w:next w:val="CommentText"/>
    <w:link w:val="CommentSubjectChar"/>
    <w:semiHidden/>
    <w:unhideWhenUsed/>
    <w:rsid w:val="003D76CE"/>
    <w:rPr>
      <w:b/>
      <w:bCs/>
    </w:rPr>
  </w:style>
  <w:style w:type="character" w:customStyle="1" w:styleId="CommentSubjectChar">
    <w:name w:val="Comment Subject Char"/>
    <w:basedOn w:val="CommentTextChar"/>
    <w:link w:val="CommentSubject"/>
    <w:semiHidden/>
    <w:rsid w:val="003D76CE"/>
    <w:rPr>
      <w:b/>
      <w:bCs/>
      <w:sz w:val="20"/>
      <w:szCs w:val="20"/>
    </w:rPr>
  </w:style>
  <w:style w:type="paragraph" w:styleId="BalloonText">
    <w:name w:val="Balloon Text"/>
    <w:basedOn w:val="Normal"/>
    <w:link w:val="BalloonTextChar"/>
    <w:rsid w:val="003D76CE"/>
    <w:pPr>
      <w:spacing w:after="0"/>
    </w:pPr>
    <w:rPr>
      <w:rFonts w:ascii="Segoe UI" w:hAnsi="Segoe UI" w:cs="Segoe UI"/>
      <w:sz w:val="18"/>
      <w:szCs w:val="18"/>
    </w:rPr>
  </w:style>
  <w:style w:type="character" w:customStyle="1" w:styleId="BalloonTextChar">
    <w:name w:val="Balloon Text Char"/>
    <w:basedOn w:val="DefaultParagraphFont"/>
    <w:link w:val="BalloonText"/>
    <w:rsid w:val="003D76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E22888312244F7A326D738483AEF55"/>
        <w:category>
          <w:name w:val="General"/>
          <w:gallery w:val="placeholder"/>
        </w:category>
        <w:types>
          <w:type w:val="bbPlcHdr"/>
        </w:types>
        <w:behaviors>
          <w:behavior w:val="content"/>
        </w:behaviors>
        <w:guid w:val="{126CD3A6-BC6D-4D9B-A1A8-A88A64725DF5}"/>
      </w:docPartPr>
      <w:docPartBody>
        <w:p w:rsidR="00F83F55" w:rsidRDefault="007B0953" w:rsidP="007B0953">
          <w:pPr>
            <w:pStyle w:val="5BE22888312244F7A326D738483AEF55"/>
          </w:pPr>
          <w:r w:rsidRPr="008E4D34">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53"/>
    <w:rsid w:val="00040A23"/>
    <w:rsid w:val="0056520D"/>
    <w:rsid w:val="007B0953"/>
    <w:rsid w:val="00B451FE"/>
    <w:rsid w:val="00F83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953"/>
    <w:rPr>
      <w:color w:val="808080"/>
    </w:rPr>
  </w:style>
  <w:style w:type="paragraph" w:customStyle="1" w:styleId="DD372B5D98904904834598E3B0D687E3">
    <w:name w:val="DD372B5D98904904834598E3B0D687E3"/>
    <w:rsid w:val="007B0953"/>
  </w:style>
  <w:style w:type="paragraph" w:customStyle="1" w:styleId="0C654BB68D0D414D96CB0128FDBCAB50">
    <w:name w:val="0C654BB68D0D414D96CB0128FDBCAB50"/>
    <w:rsid w:val="007B0953"/>
  </w:style>
  <w:style w:type="paragraph" w:customStyle="1" w:styleId="05B54AD8C941411A9F484DFBEE827394">
    <w:name w:val="05B54AD8C941411A9F484DFBEE827394"/>
    <w:rsid w:val="007B0953"/>
  </w:style>
  <w:style w:type="paragraph" w:customStyle="1" w:styleId="5BE22888312244F7A326D738483AEF55">
    <w:name w:val="5BE22888312244F7A326D738483AEF55"/>
    <w:rsid w:val="007B0953"/>
  </w:style>
  <w:style w:type="paragraph" w:customStyle="1" w:styleId="ECC7209974FE4359AB912FB0730B01E1">
    <w:name w:val="ECC7209974FE4359AB912FB0730B01E1"/>
    <w:rsid w:val="007B0953"/>
  </w:style>
  <w:style w:type="paragraph" w:customStyle="1" w:styleId="2B17F3DA735447D58E824DD801ECA0A6">
    <w:name w:val="2B17F3DA735447D58E824DD801ECA0A6"/>
    <w:rsid w:val="007B0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5347</Characters>
  <Application>Microsoft Office Word</Application>
  <DocSecurity>0</DocSecurity>
  <Lines>184</Lines>
  <Paragraphs>63</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Ford</dc:creator>
  <cp:keywords/>
  <dc:description/>
  <cp:lastModifiedBy>Jonathan Ford</cp:lastModifiedBy>
  <cp:revision>3</cp:revision>
  <cp:lastPrinted>2020-01-17T05:21:00Z</cp:lastPrinted>
  <dcterms:created xsi:type="dcterms:W3CDTF">2022-10-03T23:52:00Z</dcterms:created>
  <dcterms:modified xsi:type="dcterms:W3CDTF">2022-10-05T23:04:00Z</dcterms:modified>
</cp:coreProperties>
</file>